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34E5" w14:textId="2C83E547" w:rsidR="00867C07" w:rsidRPr="008170AC" w:rsidRDefault="00D02362" w:rsidP="008170AC">
      <w:pPr>
        <w:rPr>
          <w:rFonts w:ascii="Times New Roman" w:hAnsi="Times New Roman" w:cs="Times New Roman"/>
          <w:b/>
          <w:sz w:val="22"/>
          <w:szCs w:val="22"/>
        </w:rPr>
      </w:pPr>
      <w:r w:rsidRPr="008170AC">
        <w:rPr>
          <w:rFonts w:ascii="Times New Roman" w:hAnsi="Times New Roman" w:cs="Times New Roman"/>
          <w:b/>
          <w:sz w:val="22"/>
          <w:szCs w:val="22"/>
        </w:rPr>
        <w:t xml:space="preserve">DUAL ANTIPLATELET THERAPY AFTER CORONARY ARTERY BYPASS </w:t>
      </w:r>
      <w:r w:rsidR="008170AC">
        <w:rPr>
          <w:rFonts w:ascii="Times New Roman" w:hAnsi="Times New Roman" w:cs="Times New Roman"/>
          <w:b/>
          <w:sz w:val="22"/>
          <w:szCs w:val="22"/>
        </w:rPr>
        <w:t>G</w:t>
      </w:r>
      <w:r w:rsidRPr="008170AC">
        <w:rPr>
          <w:rFonts w:ascii="Times New Roman" w:hAnsi="Times New Roman" w:cs="Times New Roman"/>
          <w:b/>
          <w:sz w:val="22"/>
          <w:szCs w:val="22"/>
        </w:rPr>
        <w:t>RAFTING IN THE SETTING OF ACUTE CORONARY SYNDROME</w:t>
      </w:r>
    </w:p>
    <w:p w14:paraId="019742DB" w14:textId="2A16EDA0" w:rsidR="00AD4096" w:rsidRPr="008170AC" w:rsidRDefault="00867C07" w:rsidP="008170AC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170AC">
        <w:rPr>
          <w:rFonts w:ascii="Times New Roman" w:hAnsi="Times New Roman" w:cs="Times New Roman"/>
          <w:b/>
          <w:bCs/>
          <w:sz w:val="22"/>
          <w:szCs w:val="22"/>
          <w:u w:val="single"/>
        </w:rPr>
        <w:t>M</w:t>
      </w:r>
      <w:r w:rsidR="008170AC" w:rsidRPr="008170A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Pr="008170A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Agarwal</w:t>
      </w:r>
      <w:r w:rsidRPr="008170AC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1</w:t>
      </w:r>
      <w:r w:rsidRPr="008170AC">
        <w:rPr>
          <w:rFonts w:ascii="Times New Roman" w:hAnsi="Times New Roman" w:cs="Times New Roman"/>
          <w:sz w:val="22"/>
          <w:szCs w:val="22"/>
        </w:rPr>
        <w:t>,</w:t>
      </w:r>
      <w:r w:rsidR="00AD4096" w:rsidRPr="008170AC">
        <w:rPr>
          <w:rFonts w:ascii="Times New Roman" w:hAnsi="Times New Roman" w:cs="Times New Roman"/>
          <w:sz w:val="22"/>
          <w:szCs w:val="22"/>
        </w:rPr>
        <w:t xml:space="preserve"> R</w:t>
      </w:r>
      <w:r w:rsidR="008170AC" w:rsidRPr="008170AC">
        <w:rPr>
          <w:rFonts w:ascii="Times New Roman" w:hAnsi="Times New Roman" w:cs="Times New Roman"/>
          <w:sz w:val="22"/>
          <w:szCs w:val="22"/>
        </w:rPr>
        <w:t>.</w:t>
      </w:r>
      <w:r w:rsidR="00AD4096" w:rsidRPr="008170AC">
        <w:rPr>
          <w:rFonts w:ascii="Times New Roman" w:hAnsi="Times New Roman" w:cs="Times New Roman"/>
          <w:sz w:val="22"/>
          <w:szCs w:val="22"/>
        </w:rPr>
        <w:t xml:space="preserve"> Bomb</w:t>
      </w:r>
      <w:r w:rsidRPr="008170A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D4096" w:rsidRPr="008170AC">
        <w:rPr>
          <w:rFonts w:ascii="Times New Roman" w:hAnsi="Times New Roman" w:cs="Times New Roman"/>
          <w:sz w:val="22"/>
          <w:szCs w:val="22"/>
        </w:rPr>
        <w:t>,</w:t>
      </w:r>
      <w:r w:rsidRPr="008170AC">
        <w:rPr>
          <w:rFonts w:ascii="Times New Roman" w:hAnsi="Times New Roman" w:cs="Times New Roman"/>
          <w:sz w:val="22"/>
          <w:szCs w:val="22"/>
        </w:rPr>
        <w:t xml:space="preserve"> C</w:t>
      </w:r>
      <w:r w:rsidR="008170AC" w:rsidRPr="008170AC">
        <w:rPr>
          <w:rFonts w:ascii="Times New Roman" w:hAnsi="Times New Roman" w:cs="Times New Roman"/>
          <w:sz w:val="22"/>
          <w:szCs w:val="22"/>
        </w:rPr>
        <w:t>.</w:t>
      </w:r>
      <w:r w:rsidRPr="008170AC">
        <w:rPr>
          <w:rFonts w:ascii="Times New Roman" w:hAnsi="Times New Roman" w:cs="Times New Roman"/>
          <w:sz w:val="22"/>
          <w:szCs w:val="22"/>
        </w:rPr>
        <w:t>S. Oliphant</w:t>
      </w:r>
      <w:r w:rsidRPr="008170A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8170AC">
        <w:rPr>
          <w:rFonts w:ascii="Times New Roman" w:hAnsi="Times New Roman" w:cs="Times New Roman"/>
          <w:sz w:val="22"/>
          <w:szCs w:val="22"/>
          <w:vertAlign w:val="superscript"/>
        </w:rPr>
        <w:t>,4</w:t>
      </w:r>
      <w:proofErr w:type="gramEnd"/>
      <w:r w:rsidRPr="008170AC">
        <w:rPr>
          <w:rFonts w:ascii="Times New Roman" w:hAnsi="Times New Roman" w:cs="Times New Roman"/>
          <w:sz w:val="22"/>
          <w:szCs w:val="22"/>
        </w:rPr>
        <w:t>,</w:t>
      </w:r>
      <w:r w:rsidR="00AD4096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Pr="008170AC">
        <w:rPr>
          <w:rFonts w:ascii="Times New Roman" w:hAnsi="Times New Roman" w:cs="Times New Roman"/>
          <w:sz w:val="22"/>
          <w:szCs w:val="22"/>
        </w:rPr>
        <w:t>R</w:t>
      </w:r>
      <w:r w:rsidR="008170AC" w:rsidRPr="008170AC">
        <w:rPr>
          <w:rFonts w:ascii="Times New Roman" w:hAnsi="Times New Roman" w:cs="Times New Roman"/>
          <w:sz w:val="22"/>
          <w:szCs w:val="22"/>
        </w:rPr>
        <w:t>.</w:t>
      </w:r>
      <w:r w:rsidRPr="008170AC">
        <w:rPr>
          <w:rFonts w:ascii="Times New Roman" w:hAnsi="Times New Roman" w:cs="Times New Roman"/>
          <w:sz w:val="22"/>
          <w:szCs w:val="22"/>
        </w:rPr>
        <w:t>N. Khouzam</w:t>
      </w:r>
      <w:r w:rsidRPr="008170AC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4A0BF5D3" w14:textId="48613D17" w:rsidR="00867C07" w:rsidRPr="008170AC" w:rsidRDefault="00867C07" w:rsidP="00D1338A">
      <w:pPr>
        <w:jc w:val="both"/>
        <w:rPr>
          <w:rFonts w:ascii="Times New Roman" w:hAnsi="Times New Roman" w:cs="Times New Roman"/>
          <w:sz w:val="18"/>
          <w:szCs w:val="18"/>
        </w:rPr>
      </w:pPr>
      <w:r w:rsidRPr="008170AC">
        <w:rPr>
          <w:rFonts w:ascii="Times New Roman" w:hAnsi="Times New Roman" w:cs="Times New Roman"/>
          <w:sz w:val="18"/>
          <w:szCs w:val="18"/>
        </w:rPr>
        <w:t>1. Department of Internal Medicine, University of Tennessee Health Science Center, Memphis, TN</w:t>
      </w:r>
      <w:r w:rsidR="00E52E45">
        <w:rPr>
          <w:rFonts w:ascii="Times New Roman" w:hAnsi="Times New Roman" w:cs="Times New Roman"/>
          <w:sz w:val="18"/>
          <w:szCs w:val="18"/>
        </w:rPr>
        <w:t>, USA</w:t>
      </w:r>
    </w:p>
    <w:p w14:paraId="574F9A48" w14:textId="55718680" w:rsidR="00867C07" w:rsidRPr="008170AC" w:rsidRDefault="00867C07" w:rsidP="00867C07">
      <w:pPr>
        <w:jc w:val="both"/>
        <w:rPr>
          <w:rFonts w:ascii="Times New Roman" w:hAnsi="Times New Roman" w:cs="Times New Roman"/>
          <w:sz w:val="18"/>
          <w:szCs w:val="18"/>
        </w:rPr>
      </w:pPr>
      <w:r w:rsidRPr="008170AC">
        <w:rPr>
          <w:rFonts w:ascii="Times New Roman" w:hAnsi="Times New Roman" w:cs="Times New Roman"/>
          <w:sz w:val="18"/>
          <w:szCs w:val="18"/>
        </w:rPr>
        <w:t>2. Division of Cardiovascular diseases, Department of Medicine, University of Tennessee Health Science Center, Memphis, TN</w:t>
      </w:r>
      <w:r w:rsidR="00E52E45">
        <w:rPr>
          <w:rFonts w:ascii="Times New Roman" w:hAnsi="Times New Roman" w:cs="Times New Roman"/>
          <w:sz w:val="18"/>
          <w:szCs w:val="18"/>
        </w:rPr>
        <w:t>, USA</w:t>
      </w:r>
    </w:p>
    <w:p w14:paraId="46497D59" w14:textId="7F41D2F5" w:rsidR="00867C07" w:rsidRPr="008170AC" w:rsidRDefault="00867C07" w:rsidP="00867C07">
      <w:pPr>
        <w:jc w:val="both"/>
        <w:rPr>
          <w:rFonts w:ascii="Times New Roman" w:hAnsi="Times New Roman" w:cs="Times New Roman"/>
          <w:sz w:val="18"/>
          <w:szCs w:val="18"/>
        </w:rPr>
      </w:pPr>
      <w:r w:rsidRPr="008170AC">
        <w:rPr>
          <w:rFonts w:ascii="Times New Roman" w:hAnsi="Times New Roman" w:cs="Times New Roman"/>
          <w:sz w:val="18"/>
          <w:szCs w:val="18"/>
        </w:rPr>
        <w:t>3. Department of Pha</w:t>
      </w:r>
      <w:bookmarkStart w:id="0" w:name="_GoBack"/>
      <w:bookmarkEnd w:id="0"/>
      <w:r w:rsidRPr="008170AC">
        <w:rPr>
          <w:rFonts w:ascii="Times New Roman" w:hAnsi="Times New Roman" w:cs="Times New Roman"/>
          <w:sz w:val="18"/>
          <w:szCs w:val="18"/>
        </w:rPr>
        <w:t>rmacy, Methodist University Hospital, Memphis, TN</w:t>
      </w:r>
      <w:r w:rsidR="00E52E45">
        <w:rPr>
          <w:rFonts w:ascii="Times New Roman" w:hAnsi="Times New Roman" w:cs="Times New Roman"/>
          <w:sz w:val="18"/>
          <w:szCs w:val="18"/>
        </w:rPr>
        <w:t>, USA</w:t>
      </w:r>
    </w:p>
    <w:p w14:paraId="69637AE5" w14:textId="1B4707E1" w:rsidR="00867C07" w:rsidRPr="008170AC" w:rsidRDefault="00867C07" w:rsidP="00867C07">
      <w:pPr>
        <w:jc w:val="both"/>
        <w:rPr>
          <w:rFonts w:ascii="Times New Roman" w:hAnsi="Times New Roman" w:cs="Times New Roman"/>
          <w:sz w:val="18"/>
          <w:szCs w:val="18"/>
        </w:rPr>
      </w:pPr>
      <w:r w:rsidRPr="008170AC">
        <w:rPr>
          <w:rFonts w:ascii="Times New Roman" w:hAnsi="Times New Roman" w:cs="Times New Roman"/>
          <w:sz w:val="18"/>
          <w:szCs w:val="18"/>
        </w:rPr>
        <w:t>4. Department of Clinical Pharmacy, University of Tennessee College of Pharmacy, Memphis, TN</w:t>
      </w:r>
      <w:r w:rsidR="00E52E45">
        <w:rPr>
          <w:rFonts w:ascii="Times New Roman" w:hAnsi="Times New Roman" w:cs="Times New Roman"/>
          <w:sz w:val="18"/>
          <w:szCs w:val="18"/>
        </w:rPr>
        <w:t>, USA</w:t>
      </w:r>
    </w:p>
    <w:p w14:paraId="19DDAFA4" w14:textId="77777777" w:rsidR="00FE1D1D" w:rsidRPr="008170AC" w:rsidRDefault="00FE1D1D" w:rsidP="00D133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6D30A" w14:textId="77777777" w:rsidR="008170AC" w:rsidRPr="008170AC" w:rsidRDefault="00D02362" w:rsidP="00D02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Objective:</w:t>
      </w:r>
      <w:r w:rsidRPr="008170AC">
        <w:rPr>
          <w:rFonts w:ascii="Times New Roman" w:hAnsi="Times New Roman" w:cs="Times New Roman"/>
          <w:sz w:val="22"/>
          <w:szCs w:val="22"/>
        </w:rPr>
        <w:t xml:space="preserve"> To </w:t>
      </w:r>
      <w:r w:rsidR="00A771AF" w:rsidRPr="008170AC">
        <w:rPr>
          <w:rFonts w:ascii="Times New Roman" w:hAnsi="Times New Roman" w:cs="Times New Roman"/>
          <w:sz w:val="22"/>
          <w:szCs w:val="22"/>
        </w:rPr>
        <w:t xml:space="preserve">review </w:t>
      </w:r>
      <w:r w:rsidRPr="008170AC">
        <w:rPr>
          <w:rFonts w:ascii="Times New Roman" w:hAnsi="Times New Roman" w:cs="Times New Roman"/>
          <w:sz w:val="22"/>
          <w:szCs w:val="22"/>
        </w:rPr>
        <w:t>available clinical data regarding Dual Antiplatelet therapy (DAPT) in post coronary artery bypass grafting (</w:t>
      </w:r>
      <w:proofErr w:type="spellStart"/>
      <w:r w:rsidRPr="008170AC">
        <w:rPr>
          <w:rFonts w:ascii="Times New Roman" w:hAnsi="Times New Roman" w:cs="Times New Roman"/>
          <w:sz w:val="22"/>
          <w:szCs w:val="22"/>
        </w:rPr>
        <w:t>pCABG</w:t>
      </w:r>
      <w:proofErr w:type="spellEnd"/>
      <w:r w:rsidRPr="008170AC">
        <w:rPr>
          <w:rFonts w:ascii="Times New Roman" w:hAnsi="Times New Roman" w:cs="Times New Roman"/>
          <w:sz w:val="22"/>
          <w:szCs w:val="22"/>
        </w:rPr>
        <w:t xml:space="preserve">) patients. </w:t>
      </w:r>
    </w:p>
    <w:p w14:paraId="55F4D7A3" w14:textId="77777777" w:rsidR="008170AC" w:rsidRPr="008170AC" w:rsidRDefault="00D02362" w:rsidP="00D02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Background</w:t>
      </w:r>
      <w:r w:rsidR="00371A39"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:</w:t>
      </w:r>
      <w:r w:rsidR="00B4377D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Pr="008170AC">
        <w:rPr>
          <w:rFonts w:ascii="Times New Roman" w:hAnsi="Times New Roman" w:cs="Times New Roman"/>
          <w:sz w:val="22"/>
          <w:szCs w:val="22"/>
        </w:rPr>
        <w:t>CABG</w:t>
      </w:r>
      <w:r w:rsidR="00277E59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0920DA" w:rsidRPr="008170AC">
        <w:rPr>
          <w:rFonts w:ascii="Times New Roman" w:hAnsi="Times New Roman" w:cs="Times New Roman"/>
          <w:sz w:val="22"/>
          <w:szCs w:val="22"/>
        </w:rPr>
        <w:t xml:space="preserve">is the best recommended intervention for post acute coronary syndrome (ACS) </w:t>
      </w:r>
      <w:r w:rsidRPr="008170AC">
        <w:rPr>
          <w:rFonts w:ascii="Times New Roman" w:hAnsi="Times New Roman" w:cs="Times New Roman"/>
          <w:sz w:val="22"/>
          <w:szCs w:val="22"/>
        </w:rPr>
        <w:t>p</w:t>
      </w:r>
      <w:r w:rsidR="00AD4096" w:rsidRPr="008170AC">
        <w:rPr>
          <w:rFonts w:ascii="Times New Roman" w:hAnsi="Times New Roman" w:cs="Times New Roman"/>
          <w:sz w:val="22"/>
          <w:szCs w:val="22"/>
        </w:rPr>
        <w:t>atient</w:t>
      </w:r>
      <w:r w:rsidRPr="008170AC">
        <w:rPr>
          <w:rFonts w:ascii="Times New Roman" w:hAnsi="Times New Roman" w:cs="Times New Roman"/>
          <w:sz w:val="22"/>
          <w:szCs w:val="22"/>
        </w:rPr>
        <w:t>s</w:t>
      </w:r>
      <w:r w:rsidR="00277E59" w:rsidRPr="008170AC">
        <w:rPr>
          <w:rFonts w:ascii="Times New Roman" w:hAnsi="Times New Roman" w:cs="Times New Roman"/>
          <w:sz w:val="22"/>
          <w:szCs w:val="22"/>
        </w:rPr>
        <w:t xml:space="preserve"> with severe multi</w:t>
      </w:r>
      <w:r w:rsidR="00AF11B3" w:rsidRPr="008170AC">
        <w:rPr>
          <w:rFonts w:ascii="Times New Roman" w:hAnsi="Times New Roman" w:cs="Times New Roman"/>
          <w:sz w:val="22"/>
          <w:szCs w:val="22"/>
        </w:rPr>
        <w:t>-</w:t>
      </w:r>
      <w:r w:rsidR="00277E59" w:rsidRPr="008170AC">
        <w:rPr>
          <w:rFonts w:ascii="Times New Roman" w:hAnsi="Times New Roman" w:cs="Times New Roman"/>
          <w:sz w:val="22"/>
          <w:szCs w:val="22"/>
        </w:rPr>
        <w:t>vessel coronary artery</w:t>
      </w:r>
      <w:r w:rsidR="000920DA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277E59" w:rsidRPr="008170AC">
        <w:rPr>
          <w:rFonts w:ascii="Times New Roman" w:hAnsi="Times New Roman" w:cs="Times New Roman"/>
          <w:sz w:val="22"/>
          <w:szCs w:val="22"/>
        </w:rPr>
        <w:t>disease</w:t>
      </w:r>
      <w:r w:rsidR="000920DA" w:rsidRPr="008170AC">
        <w:rPr>
          <w:rFonts w:ascii="Times New Roman" w:hAnsi="Times New Roman" w:cs="Times New Roman"/>
          <w:sz w:val="22"/>
          <w:szCs w:val="22"/>
        </w:rPr>
        <w:t xml:space="preserve">. </w:t>
      </w:r>
      <w:r w:rsidR="00FF7409" w:rsidRPr="008170AC">
        <w:rPr>
          <w:rFonts w:ascii="Times New Roman" w:hAnsi="Times New Roman" w:cs="Times New Roman"/>
          <w:sz w:val="22"/>
          <w:szCs w:val="22"/>
        </w:rPr>
        <w:t xml:space="preserve">Among the </w:t>
      </w:r>
      <w:r w:rsidR="00056D5A" w:rsidRPr="008170AC">
        <w:rPr>
          <w:rFonts w:ascii="Times New Roman" w:hAnsi="Times New Roman" w:cs="Times New Roman"/>
          <w:sz w:val="22"/>
          <w:szCs w:val="22"/>
        </w:rPr>
        <w:t xml:space="preserve">most common and worrisome </w:t>
      </w:r>
      <w:r w:rsidR="00BB00D3" w:rsidRPr="008170AC">
        <w:rPr>
          <w:rFonts w:ascii="Times New Roman" w:hAnsi="Times New Roman" w:cs="Times New Roman"/>
          <w:sz w:val="22"/>
          <w:szCs w:val="22"/>
        </w:rPr>
        <w:t>complication</w:t>
      </w:r>
      <w:r w:rsidR="00495C1C" w:rsidRPr="008170AC">
        <w:rPr>
          <w:rFonts w:ascii="Times New Roman" w:hAnsi="Times New Roman" w:cs="Times New Roman"/>
          <w:sz w:val="22"/>
          <w:szCs w:val="22"/>
        </w:rPr>
        <w:t>s</w:t>
      </w:r>
      <w:r w:rsidR="00BB00D3" w:rsidRPr="008170AC">
        <w:rPr>
          <w:rFonts w:ascii="Times New Roman" w:hAnsi="Times New Roman" w:cs="Times New Roman"/>
          <w:sz w:val="22"/>
          <w:szCs w:val="22"/>
        </w:rPr>
        <w:t xml:space="preserve"> in</w:t>
      </w:r>
      <w:r w:rsidR="000920DA" w:rsidRPr="008170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70AC">
        <w:rPr>
          <w:rFonts w:ascii="Times New Roman" w:hAnsi="Times New Roman" w:cs="Times New Roman"/>
          <w:sz w:val="22"/>
          <w:szCs w:val="22"/>
        </w:rPr>
        <w:t>pCABG</w:t>
      </w:r>
      <w:proofErr w:type="spellEnd"/>
      <w:r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322264" w:rsidRPr="008170AC">
        <w:rPr>
          <w:rFonts w:ascii="Times New Roman" w:hAnsi="Times New Roman" w:cs="Times New Roman"/>
          <w:sz w:val="22"/>
          <w:szCs w:val="22"/>
        </w:rPr>
        <w:t>p</w:t>
      </w:r>
      <w:r w:rsidR="00AD4096" w:rsidRPr="008170AC">
        <w:rPr>
          <w:rFonts w:ascii="Times New Roman" w:hAnsi="Times New Roman" w:cs="Times New Roman"/>
          <w:sz w:val="22"/>
          <w:szCs w:val="22"/>
        </w:rPr>
        <w:t>a</w:t>
      </w:r>
      <w:r w:rsidR="00322264" w:rsidRPr="008170AC">
        <w:rPr>
          <w:rFonts w:ascii="Times New Roman" w:hAnsi="Times New Roman" w:cs="Times New Roman"/>
          <w:sz w:val="22"/>
          <w:szCs w:val="22"/>
        </w:rPr>
        <w:t>t</w:t>
      </w:r>
      <w:r w:rsidR="00AD4096" w:rsidRPr="008170AC">
        <w:rPr>
          <w:rFonts w:ascii="Times New Roman" w:hAnsi="Times New Roman" w:cs="Times New Roman"/>
          <w:sz w:val="22"/>
          <w:szCs w:val="22"/>
        </w:rPr>
        <w:t>ients</w:t>
      </w:r>
      <w:r w:rsidR="00322264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495C1C" w:rsidRPr="008170AC">
        <w:rPr>
          <w:rFonts w:ascii="Times New Roman" w:hAnsi="Times New Roman" w:cs="Times New Roman"/>
          <w:sz w:val="22"/>
          <w:szCs w:val="22"/>
        </w:rPr>
        <w:t>are recurrent ACS</w:t>
      </w:r>
      <w:r w:rsidR="00816898" w:rsidRPr="008170AC">
        <w:rPr>
          <w:rFonts w:ascii="Times New Roman" w:hAnsi="Times New Roman" w:cs="Times New Roman"/>
          <w:sz w:val="22"/>
          <w:szCs w:val="22"/>
        </w:rPr>
        <w:t>,</w:t>
      </w:r>
      <w:r w:rsidR="00BB00D3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056D5A" w:rsidRPr="008170AC">
        <w:rPr>
          <w:rFonts w:ascii="Times New Roman" w:hAnsi="Times New Roman" w:cs="Times New Roman"/>
          <w:sz w:val="22"/>
          <w:szCs w:val="22"/>
        </w:rPr>
        <w:t>venous graft thrombosis</w:t>
      </w:r>
      <w:r w:rsidR="00FF7409" w:rsidRPr="008170AC">
        <w:rPr>
          <w:rFonts w:ascii="Times New Roman" w:hAnsi="Times New Roman" w:cs="Times New Roman"/>
          <w:sz w:val="22"/>
          <w:szCs w:val="22"/>
        </w:rPr>
        <w:t xml:space="preserve"> and death</w:t>
      </w:r>
      <w:r w:rsidR="00495C1C" w:rsidRPr="008170AC">
        <w:rPr>
          <w:rFonts w:ascii="Times New Roman" w:hAnsi="Times New Roman" w:cs="Times New Roman"/>
          <w:sz w:val="22"/>
          <w:szCs w:val="22"/>
        </w:rPr>
        <w:t>.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 Unlike p</w:t>
      </w:r>
      <w:r w:rsidR="00867C07" w:rsidRPr="008170AC">
        <w:rPr>
          <w:rFonts w:ascii="Times New Roman" w:hAnsi="Times New Roman" w:cs="Times New Roman"/>
          <w:sz w:val="22"/>
          <w:szCs w:val="22"/>
        </w:rPr>
        <w:t xml:space="preserve">ost 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ACS medical management guidelines where </w:t>
      </w:r>
      <w:r w:rsidRPr="008170AC">
        <w:rPr>
          <w:rFonts w:ascii="Times New Roman" w:hAnsi="Times New Roman" w:cs="Times New Roman"/>
          <w:sz w:val="22"/>
          <w:szCs w:val="22"/>
        </w:rPr>
        <w:t xml:space="preserve">DAPT 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use is a standard, no </w:t>
      </w:r>
      <w:r w:rsidR="00EC1E29" w:rsidRPr="008170AC">
        <w:rPr>
          <w:rFonts w:ascii="Times New Roman" w:hAnsi="Times New Roman" w:cs="Times New Roman"/>
          <w:sz w:val="22"/>
          <w:szCs w:val="22"/>
        </w:rPr>
        <w:t xml:space="preserve">clear 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guidelines exist for </w:t>
      </w:r>
      <w:proofErr w:type="spellStart"/>
      <w:r w:rsidR="00FF7409" w:rsidRPr="008170AC">
        <w:rPr>
          <w:rFonts w:ascii="Times New Roman" w:hAnsi="Times New Roman" w:cs="Times New Roman"/>
          <w:sz w:val="22"/>
          <w:szCs w:val="22"/>
        </w:rPr>
        <w:t>p</w:t>
      </w:r>
      <w:r w:rsidR="007E3888" w:rsidRPr="008170AC">
        <w:rPr>
          <w:rFonts w:ascii="Times New Roman" w:hAnsi="Times New Roman" w:cs="Times New Roman"/>
          <w:sz w:val="22"/>
          <w:szCs w:val="22"/>
        </w:rPr>
        <w:t>CABG</w:t>
      </w:r>
      <w:proofErr w:type="spellEnd"/>
      <w:r w:rsidR="007E3888" w:rsidRPr="008170AC">
        <w:rPr>
          <w:rFonts w:ascii="Times New Roman" w:hAnsi="Times New Roman" w:cs="Times New Roman"/>
          <w:sz w:val="22"/>
          <w:szCs w:val="22"/>
        </w:rPr>
        <w:t xml:space="preserve"> p</w:t>
      </w:r>
      <w:r w:rsidR="00DF2A7E" w:rsidRPr="008170AC">
        <w:rPr>
          <w:rFonts w:ascii="Times New Roman" w:hAnsi="Times New Roman" w:cs="Times New Roman"/>
          <w:sz w:val="22"/>
          <w:szCs w:val="22"/>
        </w:rPr>
        <w:t>a</w:t>
      </w:r>
      <w:r w:rsidR="007E3888" w:rsidRPr="008170AC">
        <w:rPr>
          <w:rFonts w:ascii="Times New Roman" w:hAnsi="Times New Roman" w:cs="Times New Roman"/>
          <w:sz w:val="22"/>
          <w:szCs w:val="22"/>
        </w:rPr>
        <w:t>t</w:t>
      </w:r>
      <w:r w:rsidR="00DF2A7E" w:rsidRPr="008170AC">
        <w:rPr>
          <w:rFonts w:ascii="Times New Roman" w:hAnsi="Times New Roman" w:cs="Times New Roman"/>
          <w:sz w:val="22"/>
          <w:szCs w:val="22"/>
        </w:rPr>
        <w:t>ient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s. </w:t>
      </w:r>
      <w:r w:rsidR="0058149C" w:rsidRPr="008170AC">
        <w:rPr>
          <w:rFonts w:ascii="Times New Roman" w:hAnsi="Times New Roman" w:cs="Times New Roman"/>
          <w:sz w:val="22"/>
          <w:szCs w:val="22"/>
        </w:rPr>
        <w:t xml:space="preserve">Hence we performed literature review </w:t>
      </w:r>
      <w:r w:rsidR="00371A39" w:rsidRPr="008170AC">
        <w:rPr>
          <w:rFonts w:ascii="Times New Roman" w:hAnsi="Times New Roman" w:cs="Times New Roman"/>
          <w:sz w:val="22"/>
          <w:szCs w:val="22"/>
        </w:rPr>
        <w:t xml:space="preserve">to study </w:t>
      </w:r>
      <w:proofErr w:type="spellStart"/>
      <w:r w:rsidR="00FF7409" w:rsidRPr="008170AC">
        <w:rPr>
          <w:rFonts w:ascii="Times New Roman" w:hAnsi="Times New Roman" w:cs="Times New Roman"/>
          <w:sz w:val="22"/>
          <w:szCs w:val="22"/>
        </w:rPr>
        <w:t>p</w:t>
      </w:r>
      <w:r w:rsidR="00322264" w:rsidRPr="008170AC">
        <w:rPr>
          <w:rFonts w:ascii="Times New Roman" w:hAnsi="Times New Roman" w:cs="Times New Roman"/>
          <w:sz w:val="22"/>
          <w:szCs w:val="22"/>
        </w:rPr>
        <w:t>CABG</w:t>
      </w:r>
      <w:proofErr w:type="spellEnd"/>
      <w:r w:rsidR="00322264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867C07" w:rsidRPr="008170AC">
        <w:rPr>
          <w:rFonts w:ascii="Times New Roman" w:hAnsi="Times New Roman" w:cs="Times New Roman"/>
          <w:sz w:val="22"/>
          <w:szCs w:val="22"/>
        </w:rPr>
        <w:t>DAPT use</w:t>
      </w:r>
      <w:r w:rsidR="00336D49" w:rsidRPr="008170AC">
        <w:rPr>
          <w:rFonts w:ascii="Times New Roman" w:hAnsi="Times New Roman" w:cs="Times New Roman"/>
          <w:sz w:val="22"/>
          <w:szCs w:val="22"/>
        </w:rPr>
        <w:t>.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F00FAE" w14:textId="77777777" w:rsidR="008170AC" w:rsidRPr="008170AC" w:rsidRDefault="00336D49" w:rsidP="00D02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Methods:</w:t>
      </w:r>
      <w:r w:rsidRPr="008170AC">
        <w:rPr>
          <w:rFonts w:ascii="Times New Roman" w:hAnsi="Times New Roman" w:cs="Times New Roman"/>
          <w:sz w:val="22"/>
          <w:szCs w:val="22"/>
        </w:rPr>
        <w:t xml:space="preserve"> An extensive literature search was conducted using the terms aspirin, </w:t>
      </w:r>
      <w:proofErr w:type="spellStart"/>
      <w:r w:rsidRPr="008170AC">
        <w:rPr>
          <w:rFonts w:ascii="Times New Roman" w:hAnsi="Times New Roman" w:cs="Times New Roman"/>
          <w:sz w:val="22"/>
          <w:szCs w:val="22"/>
        </w:rPr>
        <w:t>clopidogrel</w:t>
      </w:r>
      <w:proofErr w:type="spellEnd"/>
      <w:r w:rsidRPr="008170AC">
        <w:rPr>
          <w:rFonts w:ascii="Times New Roman" w:hAnsi="Times New Roman" w:cs="Times New Roman"/>
          <w:sz w:val="22"/>
          <w:szCs w:val="22"/>
        </w:rPr>
        <w:t xml:space="preserve">, DAPT and coronary artery bypass surgery. In addition, studies were discovered during bibliographic reviews. The studies with </w:t>
      </w:r>
      <w:r w:rsidR="00495C1C" w:rsidRPr="008170AC">
        <w:rPr>
          <w:rFonts w:ascii="Times New Roman" w:hAnsi="Times New Roman" w:cs="Times New Roman"/>
          <w:sz w:val="22"/>
          <w:szCs w:val="22"/>
        </w:rPr>
        <w:t xml:space="preserve">clear </w:t>
      </w:r>
      <w:r w:rsidRPr="008170AC">
        <w:rPr>
          <w:rFonts w:ascii="Times New Roman" w:hAnsi="Times New Roman" w:cs="Times New Roman"/>
          <w:sz w:val="22"/>
          <w:szCs w:val="22"/>
        </w:rPr>
        <w:t xml:space="preserve">efficacy end points were included </w:t>
      </w:r>
      <w:r w:rsidR="00297B84" w:rsidRPr="008170AC">
        <w:rPr>
          <w:rFonts w:ascii="Times New Roman" w:hAnsi="Times New Roman" w:cs="Times New Roman"/>
          <w:sz w:val="22"/>
          <w:szCs w:val="22"/>
        </w:rPr>
        <w:t>and divided into 2</w:t>
      </w:r>
      <w:r w:rsidRPr="008170AC">
        <w:rPr>
          <w:rFonts w:ascii="Times New Roman" w:hAnsi="Times New Roman" w:cs="Times New Roman"/>
          <w:sz w:val="22"/>
          <w:szCs w:val="22"/>
        </w:rPr>
        <w:t xml:space="preserve"> groups</w:t>
      </w:r>
      <w:proofErr w:type="gramStart"/>
      <w:r w:rsidRPr="008170AC">
        <w:rPr>
          <w:rFonts w:ascii="Times New Roman" w:hAnsi="Times New Roman" w:cs="Times New Roman"/>
          <w:sz w:val="22"/>
          <w:szCs w:val="22"/>
        </w:rPr>
        <w:t>:-</w:t>
      </w:r>
      <w:proofErr w:type="gramEnd"/>
      <w:r w:rsidRPr="008170AC">
        <w:rPr>
          <w:rFonts w:ascii="Times New Roman" w:hAnsi="Times New Roman" w:cs="Times New Roman"/>
          <w:sz w:val="22"/>
          <w:szCs w:val="22"/>
        </w:rPr>
        <w:t xml:space="preserve"> significant positive results</w:t>
      </w:r>
      <w:r w:rsidR="00EC1E29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B73786" w:rsidRPr="008170A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B73786" w:rsidRPr="008170AC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="00B73786" w:rsidRPr="008170AC">
        <w:rPr>
          <w:rFonts w:ascii="Times New Roman" w:hAnsi="Times New Roman" w:cs="Times New Roman"/>
          <w:sz w:val="22"/>
          <w:szCs w:val="22"/>
        </w:rPr>
        <w:t>)</w:t>
      </w:r>
      <w:r w:rsidR="00816898" w:rsidRPr="008170AC">
        <w:rPr>
          <w:rFonts w:ascii="Times New Roman" w:hAnsi="Times New Roman" w:cs="Times New Roman"/>
          <w:sz w:val="22"/>
          <w:szCs w:val="22"/>
        </w:rPr>
        <w:t xml:space="preserve"> and</w:t>
      </w:r>
      <w:r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D1338A" w:rsidRPr="008170AC">
        <w:rPr>
          <w:rFonts w:ascii="Times New Roman" w:hAnsi="Times New Roman" w:cs="Times New Roman"/>
          <w:sz w:val="22"/>
          <w:szCs w:val="22"/>
        </w:rPr>
        <w:t>neutral</w:t>
      </w:r>
      <w:r w:rsidRPr="008170AC">
        <w:rPr>
          <w:rFonts w:ascii="Times New Roman" w:hAnsi="Times New Roman" w:cs="Times New Roman"/>
          <w:sz w:val="22"/>
          <w:szCs w:val="22"/>
        </w:rPr>
        <w:t xml:space="preserve"> results</w:t>
      </w:r>
      <w:r w:rsidR="00EC1E29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B73786" w:rsidRPr="008170A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1338A" w:rsidRPr="008170A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CE400F" w:rsidRPr="008170AC">
        <w:rPr>
          <w:rFonts w:ascii="Times New Roman" w:hAnsi="Times New Roman" w:cs="Times New Roman"/>
          <w:sz w:val="22"/>
          <w:szCs w:val="22"/>
        </w:rPr>
        <w:t>)</w:t>
      </w:r>
      <w:r w:rsidRPr="008170AC">
        <w:rPr>
          <w:rFonts w:ascii="Times New Roman" w:hAnsi="Times New Roman" w:cs="Times New Roman"/>
          <w:sz w:val="22"/>
          <w:szCs w:val="22"/>
        </w:rPr>
        <w:t>. A s</w:t>
      </w:r>
      <w:r w:rsidR="00816898" w:rsidRPr="008170AC">
        <w:rPr>
          <w:rFonts w:ascii="Times New Roman" w:hAnsi="Times New Roman" w:cs="Times New Roman"/>
          <w:sz w:val="22"/>
          <w:szCs w:val="22"/>
        </w:rPr>
        <w:t xml:space="preserve">eparate search for </w:t>
      </w:r>
      <w:proofErr w:type="gramStart"/>
      <w:r w:rsidR="00816898" w:rsidRPr="008170AC">
        <w:rPr>
          <w:rFonts w:ascii="Times New Roman" w:hAnsi="Times New Roman" w:cs="Times New Roman"/>
          <w:sz w:val="22"/>
          <w:szCs w:val="22"/>
        </w:rPr>
        <w:t>meta</w:t>
      </w:r>
      <w:proofErr w:type="gramEnd"/>
      <w:r w:rsidR="00816898" w:rsidRPr="008170AC">
        <w:rPr>
          <w:rFonts w:ascii="Times New Roman" w:hAnsi="Times New Roman" w:cs="Times New Roman"/>
          <w:sz w:val="22"/>
          <w:szCs w:val="22"/>
        </w:rPr>
        <w:t xml:space="preserve"> analyses</w:t>
      </w:r>
      <w:r w:rsidRPr="008170AC">
        <w:rPr>
          <w:rFonts w:ascii="Times New Roman" w:hAnsi="Times New Roman" w:cs="Times New Roman"/>
          <w:sz w:val="22"/>
          <w:szCs w:val="22"/>
        </w:rPr>
        <w:t xml:space="preserve"> was also performed.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A771AF" w:rsidRPr="00817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F026EC" w14:textId="77777777" w:rsidR="008170AC" w:rsidRPr="008170AC" w:rsidRDefault="00336D49" w:rsidP="00D02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Results:</w:t>
      </w:r>
      <w:r w:rsidRPr="008170AC">
        <w:rPr>
          <w:rFonts w:ascii="Times New Roman" w:hAnsi="Times New Roman" w:cs="Times New Roman"/>
          <w:sz w:val="22"/>
          <w:szCs w:val="22"/>
        </w:rPr>
        <w:t xml:space="preserve"> 12 </w:t>
      </w:r>
      <w:r w:rsidR="00495C1C" w:rsidRPr="008170AC">
        <w:rPr>
          <w:rFonts w:ascii="Times New Roman" w:hAnsi="Times New Roman" w:cs="Times New Roman"/>
          <w:sz w:val="22"/>
          <w:szCs w:val="22"/>
        </w:rPr>
        <w:t xml:space="preserve">clinical studies </w:t>
      </w:r>
      <w:r w:rsidR="00322264" w:rsidRPr="008170AC">
        <w:rPr>
          <w:rFonts w:ascii="Times New Roman" w:hAnsi="Times New Roman" w:cs="Times New Roman"/>
          <w:sz w:val="22"/>
          <w:szCs w:val="22"/>
        </w:rPr>
        <w:t xml:space="preserve">and 3 </w:t>
      </w:r>
      <w:proofErr w:type="gramStart"/>
      <w:r w:rsidR="00322264" w:rsidRPr="008170AC">
        <w:rPr>
          <w:rFonts w:ascii="Times New Roman" w:hAnsi="Times New Roman" w:cs="Times New Roman"/>
          <w:sz w:val="22"/>
          <w:szCs w:val="22"/>
        </w:rPr>
        <w:t>meta</w:t>
      </w:r>
      <w:proofErr w:type="gramEnd"/>
      <w:r w:rsidR="00322264" w:rsidRPr="008170AC">
        <w:rPr>
          <w:rFonts w:ascii="Times New Roman" w:hAnsi="Times New Roman" w:cs="Times New Roman"/>
          <w:sz w:val="22"/>
          <w:szCs w:val="22"/>
        </w:rPr>
        <w:t xml:space="preserve"> analyses </w:t>
      </w:r>
      <w:r w:rsidR="00495C1C" w:rsidRPr="008170AC">
        <w:rPr>
          <w:rFonts w:ascii="Times New Roman" w:hAnsi="Times New Roman" w:cs="Times New Roman"/>
          <w:sz w:val="22"/>
          <w:szCs w:val="22"/>
        </w:rPr>
        <w:t>were identified</w:t>
      </w:r>
      <w:r w:rsidR="00297B84" w:rsidRPr="008170AC">
        <w:rPr>
          <w:rFonts w:ascii="Times New Roman" w:hAnsi="Times New Roman" w:cs="Times New Roman"/>
          <w:sz w:val="22"/>
          <w:szCs w:val="22"/>
        </w:rPr>
        <w:t>,</w:t>
      </w:r>
      <w:r w:rsidR="00322264" w:rsidRPr="008170AC">
        <w:rPr>
          <w:rFonts w:ascii="Times New Roman" w:hAnsi="Times New Roman" w:cs="Times New Roman"/>
          <w:sz w:val="22"/>
          <w:szCs w:val="22"/>
        </w:rPr>
        <w:t xml:space="preserve"> and reviewed</w:t>
      </w:r>
      <w:r w:rsidR="00495C1C" w:rsidRPr="008170AC">
        <w:rPr>
          <w:rFonts w:ascii="Times New Roman" w:hAnsi="Times New Roman" w:cs="Times New Roman"/>
          <w:sz w:val="22"/>
          <w:szCs w:val="22"/>
        </w:rPr>
        <w:t xml:space="preserve">. </w:t>
      </w:r>
      <w:r w:rsidR="007E3888" w:rsidRPr="008170AC">
        <w:rPr>
          <w:rFonts w:ascii="Times New Roman" w:hAnsi="Times New Roman" w:cs="Times New Roman"/>
          <w:sz w:val="22"/>
          <w:szCs w:val="22"/>
        </w:rPr>
        <w:t>Among 12 clinical studies</w:t>
      </w:r>
      <w:r w:rsidR="00297B84" w:rsidRPr="008170AC">
        <w:rPr>
          <w:rFonts w:ascii="Times New Roman" w:hAnsi="Times New Roman" w:cs="Times New Roman"/>
          <w:sz w:val="22"/>
          <w:szCs w:val="22"/>
        </w:rPr>
        <w:t>,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495C1C" w:rsidRPr="008170AC">
        <w:rPr>
          <w:rFonts w:ascii="Times New Roman" w:hAnsi="Times New Roman" w:cs="Times New Roman"/>
          <w:sz w:val="22"/>
          <w:szCs w:val="22"/>
        </w:rPr>
        <w:t xml:space="preserve">5 </w:t>
      </w:r>
      <w:proofErr w:type="spellStart"/>
      <w:r w:rsidR="00CE400F" w:rsidRPr="008170AC">
        <w:rPr>
          <w:rFonts w:ascii="Times New Roman" w:hAnsi="Times New Roman" w:cs="Times New Roman"/>
          <w:sz w:val="22"/>
          <w:szCs w:val="22"/>
        </w:rPr>
        <w:t>sP</w:t>
      </w:r>
      <w:proofErr w:type="spellEnd"/>
      <w:r w:rsidR="00CE400F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495C1C" w:rsidRPr="008170AC">
        <w:rPr>
          <w:rFonts w:ascii="Times New Roman" w:hAnsi="Times New Roman" w:cs="Times New Roman"/>
          <w:sz w:val="22"/>
          <w:szCs w:val="22"/>
        </w:rPr>
        <w:t xml:space="preserve">and 7 </w:t>
      </w:r>
      <w:proofErr w:type="spellStart"/>
      <w:r w:rsidR="00D1338A" w:rsidRPr="008170A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B14934" w:rsidRPr="008170AC">
        <w:rPr>
          <w:rFonts w:ascii="Times New Roman" w:hAnsi="Times New Roman" w:cs="Times New Roman"/>
          <w:sz w:val="22"/>
          <w:szCs w:val="22"/>
        </w:rPr>
        <w:t xml:space="preserve"> were </w:t>
      </w:r>
      <w:proofErr w:type="gramStart"/>
      <w:r w:rsidR="00B14934" w:rsidRPr="008170AC">
        <w:rPr>
          <w:rFonts w:ascii="Times New Roman" w:hAnsi="Times New Roman" w:cs="Times New Roman"/>
          <w:sz w:val="22"/>
          <w:szCs w:val="22"/>
        </w:rPr>
        <w:t>found</w:t>
      </w:r>
      <w:r w:rsidR="00894466" w:rsidRPr="008170A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894466" w:rsidRPr="008170AC">
        <w:rPr>
          <w:rFonts w:ascii="Times New Roman" w:hAnsi="Times New Roman" w:cs="Times New Roman"/>
          <w:sz w:val="22"/>
          <w:szCs w:val="22"/>
        </w:rPr>
        <w:t>Table 1)</w:t>
      </w:r>
      <w:r w:rsidR="007E3888" w:rsidRPr="008170A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D6E240" w14:textId="3E121F46" w:rsidR="00B4377D" w:rsidRPr="008170AC" w:rsidRDefault="007E3888" w:rsidP="00D02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70AC">
        <w:rPr>
          <w:rFonts w:ascii="Times New Roman" w:hAnsi="Times New Roman" w:cs="Times New Roman"/>
          <w:bCs/>
          <w:i/>
          <w:iCs/>
          <w:sz w:val="22"/>
          <w:szCs w:val="22"/>
        </w:rPr>
        <w:t>Conclusion:</w:t>
      </w:r>
      <w:r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A771AF" w:rsidRPr="008170AC">
        <w:rPr>
          <w:rFonts w:ascii="Times New Roman" w:hAnsi="Times New Roman" w:cs="Times New Roman"/>
          <w:sz w:val="22"/>
          <w:szCs w:val="22"/>
        </w:rPr>
        <w:t xml:space="preserve">Although in </w:t>
      </w:r>
      <w:r w:rsidR="00EC1E29" w:rsidRPr="008170AC">
        <w:rPr>
          <w:rFonts w:ascii="Times New Roman" w:hAnsi="Times New Roman" w:cs="Times New Roman"/>
          <w:sz w:val="22"/>
          <w:szCs w:val="22"/>
        </w:rPr>
        <w:t xml:space="preserve">the </w:t>
      </w:r>
      <w:r w:rsidR="00A771AF" w:rsidRPr="008170AC">
        <w:rPr>
          <w:rFonts w:ascii="Times New Roman" w:hAnsi="Times New Roman" w:cs="Times New Roman"/>
          <w:sz w:val="22"/>
          <w:szCs w:val="22"/>
        </w:rPr>
        <w:t xml:space="preserve">absence of contraindications, </w:t>
      </w:r>
      <w:r w:rsidR="00EC1E29" w:rsidRPr="008170AC">
        <w:rPr>
          <w:rFonts w:ascii="Times New Roman" w:hAnsi="Times New Roman" w:cs="Times New Roman"/>
          <w:sz w:val="22"/>
          <w:szCs w:val="22"/>
        </w:rPr>
        <w:t>9-12 months</w:t>
      </w:r>
      <w:r w:rsidR="00867C07" w:rsidRPr="008170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7C07" w:rsidRPr="008170AC">
        <w:rPr>
          <w:rFonts w:ascii="Times New Roman" w:hAnsi="Times New Roman" w:cs="Times New Roman"/>
          <w:sz w:val="22"/>
          <w:szCs w:val="22"/>
        </w:rPr>
        <w:t>post operative</w:t>
      </w:r>
      <w:proofErr w:type="spellEnd"/>
      <w:r w:rsidR="00EC1E29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="00A771AF" w:rsidRPr="008170AC">
        <w:rPr>
          <w:rFonts w:ascii="Times New Roman" w:hAnsi="Times New Roman" w:cs="Times New Roman"/>
          <w:sz w:val="22"/>
          <w:szCs w:val="22"/>
        </w:rPr>
        <w:t>DAPT use is reasonable</w:t>
      </w:r>
      <w:r w:rsidR="00EC1E29" w:rsidRPr="008170AC">
        <w:rPr>
          <w:rFonts w:ascii="Times New Roman" w:hAnsi="Times New Roman" w:cs="Times New Roman"/>
          <w:sz w:val="22"/>
          <w:szCs w:val="22"/>
        </w:rPr>
        <w:t>,</w:t>
      </w:r>
      <w:r w:rsidR="00A771AF" w:rsidRPr="008170AC">
        <w:rPr>
          <w:rFonts w:ascii="Times New Roman" w:hAnsi="Times New Roman" w:cs="Times New Roman"/>
          <w:sz w:val="22"/>
          <w:szCs w:val="22"/>
        </w:rPr>
        <w:t xml:space="preserve"> but n</w:t>
      </w:r>
      <w:r w:rsidRPr="008170AC">
        <w:rPr>
          <w:rFonts w:ascii="Times New Roman" w:hAnsi="Times New Roman" w:cs="Times New Roman"/>
          <w:sz w:val="22"/>
          <w:szCs w:val="22"/>
        </w:rPr>
        <w:t xml:space="preserve">o clear consensus exist for </w:t>
      </w:r>
      <w:proofErr w:type="spellStart"/>
      <w:r w:rsidR="00A771AF" w:rsidRPr="008170AC">
        <w:rPr>
          <w:rFonts w:ascii="Times New Roman" w:hAnsi="Times New Roman" w:cs="Times New Roman"/>
          <w:sz w:val="22"/>
          <w:szCs w:val="22"/>
        </w:rPr>
        <w:t>pCABG</w:t>
      </w:r>
      <w:proofErr w:type="spellEnd"/>
      <w:r w:rsidR="00A771AF" w:rsidRPr="008170AC">
        <w:rPr>
          <w:rFonts w:ascii="Times New Roman" w:hAnsi="Times New Roman" w:cs="Times New Roman"/>
          <w:sz w:val="22"/>
          <w:szCs w:val="22"/>
        </w:rPr>
        <w:t xml:space="preserve"> </w:t>
      </w:r>
      <w:r w:rsidRPr="008170AC">
        <w:rPr>
          <w:rFonts w:ascii="Times New Roman" w:hAnsi="Times New Roman" w:cs="Times New Roman"/>
          <w:sz w:val="22"/>
          <w:szCs w:val="22"/>
        </w:rPr>
        <w:t>DAPT use</w:t>
      </w:r>
      <w:r w:rsidR="00A771AF" w:rsidRPr="008170AC">
        <w:rPr>
          <w:rFonts w:ascii="Times New Roman" w:hAnsi="Times New Roman" w:cs="Times New Roman"/>
          <w:sz w:val="22"/>
          <w:szCs w:val="22"/>
        </w:rPr>
        <w:t>. Hence l</w:t>
      </w:r>
      <w:r w:rsidRPr="008170AC">
        <w:rPr>
          <w:rFonts w:ascii="Times New Roman" w:hAnsi="Times New Roman" w:cs="Times New Roman"/>
          <w:sz w:val="22"/>
          <w:szCs w:val="22"/>
        </w:rPr>
        <w:t>arge, multicenter, rando</w:t>
      </w:r>
      <w:r w:rsidR="00A771AF" w:rsidRPr="008170AC">
        <w:rPr>
          <w:rFonts w:ascii="Times New Roman" w:hAnsi="Times New Roman" w:cs="Times New Roman"/>
          <w:sz w:val="22"/>
          <w:szCs w:val="22"/>
        </w:rPr>
        <w:t>mized clinical trials are indicated</w:t>
      </w:r>
      <w:r w:rsidR="00FF7409" w:rsidRPr="008170AC">
        <w:rPr>
          <w:rFonts w:ascii="Times New Roman" w:hAnsi="Times New Roman" w:cs="Times New Roman"/>
          <w:sz w:val="22"/>
          <w:szCs w:val="22"/>
        </w:rPr>
        <w:t>.</w:t>
      </w:r>
      <w:r w:rsidRPr="00817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6D397B" w14:textId="77777777" w:rsidR="008170AC" w:rsidRDefault="008170AC" w:rsidP="00D64B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A8FC184" w14:textId="039E81BF" w:rsidR="00894466" w:rsidRPr="008170AC" w:rsidRDefault="00867C07" w:rsidP="00D64B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70AC">
        <w:rPr>
          <w:rFonts w:ascii="Times New Roman" w:hAnsi="Times New Roman" w:cs="Times New Roman"/>
          <w:i/>
          <w:iCs/>
          <w:sz w:val="22"/>
          <w:szCs w:val="22"/>
        </w:rPr>
        <w:t>Table</w:t>
      </w:r>
      <w:r w:rsidR="00894466" w:rsidRPr="008170AC">
        <w:rPr>
          <w:rFonts w:ascii="Times New Roman" w:hAnsi="Times New Roman" w:cs="Times New Roman"/>
          <w:i/>
          <w:iCs/>
          <w:sz w:val="22"/>
          <w:szCs w:val="22"/>
        </w:rPr>
        <w:t>1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628"/>
        <w:gridCol w:w="3533"/>
        <w:gridCol w:w="1323"/>
        <w:gridCol w:w="1226"/>
        <w:gridCol w:w="920"/>
      </w:tblGrid>
      <w:tr w:rsidR="00894466" w:rsidRPr="008170AC" w14:paraId="041FEA8D" w14:textId="77777777" w:rsidTr="008170AC">
        <w:tc>
          <w:tcPr>
            <w:tcW w:w="5161" w:type="dxa"/>
            <w:gridSpan w:val="2"/>
          </w:tcPr>
          <w:p w14:paraId="07FFC7B7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Positive Result Studies</w:t>
            </w:r>
          </w:p>
        </w:tc>
        <w:tc>
          <w:tcPr>
            <w:tcW w:w="3469" w:type="dxa"/>
            <w:gridSpan w:val="3"/>
          </w:tcPr>
          <w:p w14:paraId="7A9D6B07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</w:p>
        </w:tc>
      </w:tr>
      <w:tr w:rsidR="00894466" w:rsidRPr="008170AC" w14:paraId="47D17E55" w14:textId="77777777" w:rsidTr="008170AC">
        <w:trPr>
          <w:trHeight w:val="372"/>
        </w:trPr>
        <w:tc>
          <w:tcPr>
            <w:tcW w:w="1628" w:type="dxa"/>
          </w:tcPr>
          <w:p w14:paraId="5775D234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3533" w:type="dxa"/>
          </w:tcPr>
          <w:p w14:paraId="5E0DEA75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1323" w:type="dxa"/>
          </w:tcPr>
          <w:p w14:paraId="56E874FA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ASA</w:t>
            </w:r>
          </w:p>
        </w:tc>
        <w:tc>
          <w:tcPr>
            <w:tcW w:w="1226" w:type="dxa"/>
          </w:tcPr>
          <w:p w14:paraId="2EDC78EE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DAPT</w:t>
            </w:r>
          </w:p>
        </w:tc>
        <w:tc>
          <w:tcPr>
            <w:tcW w:w="920" w:type="dxa"/>
          </w:tcPr>
          <w:p w14:paraId="5B1821B2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894466" w:rsidRPr="008170AC" w14:paraId="2C2B00E9" w14:textId="77777777" w:rsidTr="008170AC">
        <w:trPr>
          <w:trHeight w:val="346"/>
        </w:trPr>
        <w:tc>
          <w:tcPr>
            <w:tcW w:w="1628" w:type="dxa"/>
            <w:vMerge w:val="restart"/>
          </w:tcPr>
          <w:p w14:paraId="4AE86675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F7FB4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Gurbuz</w:t>
            </w:r>
            <w:proofErr w:type="spellEnd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  <w:p w14:paraId="77C2F720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14:paraId="0D8F858F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Recurrent angina</w:t>
            </w:r>
          </w:p>
        </w:tc>
        <w:tc>
          <w:tcPr>
            <w:tcW w:w="1323" w:type="dxa"/>
          </w:tcPr>
          <w:p w14:paraId="56036709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23     (8.6%)</w:t>
            </w:r>
          </w:p>
        </w:tc>
        <w:tc>
          <w:tcPr>
            <w:tcW w:w="1226" w:type="dxa"/>
          </w:tcPr>
          <w:p w14:paraId="5B94A4ED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6(1.8%)</w:t>
            </w:r>
          </w:p>
        </w:tc>
        <w:tc>
          <w:tcPr>
            <w:tcW w:w="920" w:type="dxa"/>
          </w:tcPr>
          <w:p w14:paraId="7087FE13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94466" w:rsidRPr="008170AC" w14:paraId="5EF1ED86" w14:textId="77777777" w:rsidTr="008170AC">
        <w:trPr>
          <w:trHeight w:val="335"/>
        </w:trPr>
        <w:tc>
          <w:tcPr>
            <w:tcW w:w="1628" w:type="dxa"/>
            <w:vMerge/>
          </w:tcPr>
          <w:p w14:paraId="08CEB49A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14:paraId="7CF33622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1323" w:type="dxa"/>
          </w:tcPr>
          <w:p w14:paraId="1970AD6A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22     (8.3%)</w:t>
            </w:r>
          </w:p>
        </w:tc>
        <w:tc>
          <w:tcPr>
            <w:tcW w:w="1226" w:type="dxa"/>
          </w:tcPr>
          <w:p w14:paraId="12B9871D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7(2.2%)</w:t>
            </w:r>
          </w:p>
        </w:tc>
        <w:tc>
          <w:tcPr>
            <w:tcW w:w="920" w:type="dxa"/>
          </w:tcPr>
          <w:p w14:paraId="72812193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94466" w:rsidRPr="008170AC" w14:paraId="6F9A7B4C" w14:textId="77777777" w:rsidTr="008170AC">
        <w:tc>
          <w:tcPr>
            <w:tcW w:w="1628" w:type="dxa"/>
          </w:tcPr>
          <w:p w14:paraId="023227E4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Kim et al</w:t>
            </w:r>
          </w:p>
        </w:tc>
        <w:tc>
          <w:tcPr>
            <w:tcW w:w="3533" w:type="dxa"/>
          </w:tcPr>
          <w:p w14:paraId="5931131E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In hospital mortality</w:t>
            </w:r>
          </w:p>
        </w:tc>
        <w:tc>
          <w:tcPr>
            <w:tcW w:w="1323" w:type="dxa"/>
          </w:tcPr>
          <w:p w14:paraId="4AB75611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210(1.78%)</w:t>
            </w:r>
          </w:p>
        </w:tc>
        <w:tc>
          <w:tcPr>
            <w:tcW w:w="1226" w:type="dxa"/>
          </w:tcPr>
          <w:p w14:paraId="766DB7C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31(0.95%)</w:t>
            </w:r>
          </w:p>
        </w:tc>
        <w:tc>
          <w:tcPr>
            <w:tcW w:w="920" w:type="dxa"/>
          </w:tcPr>
          <w:p w14:paraId="6A30DCF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894466" w:rsidRPr="008170AC" w14:paraId="1370ECEA" w14:textId="77777777" w:rsidTr="008170AC">
        <w:tc>
          <w:tcPr>
            <w:tcW w:w="1628" w:type="dxa"/>
          </w:tcPr>
          <w:p w14:paraId="147904F4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Gao et al</w:t>
            </w:r>
          </w:p>
        </w:tc>
        <w:tc>
          <w:tcPr>
            <w:tcW w:w="3533" w:type="dxa"/>
          </w:tcPr>
          <w:p w14:paraId="01BFBF50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SVG patency at 3 months</w:t>
            </w:r>
          </w:p>
        </w:tc>
        <w:tc>
          <w:tcPr>
            <w:tcW w:w="1323" w:type="dxa"/>
          </w:tcPr>
          <w:p w14:paraId="341B1C28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198  (</w:t>
            </w:r>
            <w:proofErr w:type="gramEnd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86%)</w:t>
            </w:r>
          </w:p>
        </w:tc>
        <w:tc>
          <w:tcPr>
            <w:tcW w:w="1226" w:type="dxa"/>
          </w:tcPr>
          <w:p w14:paraId="0F13F7F0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219(92%)</w:t>
            </w:r>
          </w:p>
        </w:tc>
        <w:tc>
          <w:tcPr>
            <w:tcW w:w="920" w:type="dxa"/>
          </w:tcPr>
          <w:p w14:paraId="0C1B6EA8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894466" w:rsidRPr="008170AC" w14:paraId="02B2DC15" w14:textId="77777777" w:rsidTr="008170AC">
        <w:trPr>
          <w:trHeight w:val="305"/>
        </w:trPr>
        <w:tc>
          <w:tcPr>
            <w:tcW w:w="1628" w:type="dxa"/>
            <w:vMerge w:val="restart"/>
          </w:tcPr>
          <w:p w14:paraId="6E3D843A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06A041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Mannacio</w:t>
            </w:r>
            <w:proofErr w:type="spellEnd"/>
            <w:r w:rsidRPr="00817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</w:t>
            </w:r>
          </w:p>
        </w:tc>
        <w:tc>
          <w:tcPr>
            <w:tcW w:w="3533" w:type="dxa"/>
          </w:tcPr>
          <w:p w14:paraId="1E3EA8C5" w14:textId="77777777" w:rsidR="00894466" w:rsidRPr="008170AC" w:rsidRDefault="00894466" w:rsidP="008170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2197D2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graft occlusion</w:t>
            </w:r>
          </w:p>
        </w:tc>
        <w:tc>
          <w:tcPr>
            <w:tcW w:w="1323" w:type="dxa"/>
          </w:tcPr>
          <w:p w14:paraId="64DD4829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39    (27%)</w:t>
            </w:r>
          </w:p>
        </w:tc>
        <w:tc>
          <w:tcPr>
            <w:tcW w:w="1226" w:type="dxa"/>
          </w:tcPr>
          <w:p w14:paraId="18262862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22 (15%)</w:t>
            </w:r>
          </w:p>
        </w:tc>
        <w:tc>
          <w:tcPr>
            <w:tcW w:w="920" w:type="dxa"/>
          </w:tcPr>
          <w:p w14:paraId="0AE80921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894466" w:rsidRPr="008170AC" w14:paraId="1693AE77" w14:textId="77777777" w:rsidTr="008170AC">
        <w:trPr>
          <w:trHeight w:val="281"/>
        </w:trPr>
        <w:tc>
          <w:tcPr>
            <w:tcW w:w="1628" w:type="dxa"/>
            <w:vMerge/>
          </w:tcPr>
          <w:p w14:paraId="22B1C1BC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</w:tcPr>
          <w:p w14:paraId="1862144E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SVG occlusion</w:t>
            </w:r>
          </w:p>
        </w:tc>
        <w:tc>
          <w:tcPr>
            <w:tcW w:w="1323" w:type="dxa"/>
          </w:tcPr>
          <w:p w14:paraId="05B1B800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35    (13%)</w:t>
            </w:r>
          </w:p>
        </w:tc>
        <w:tc>
          <w:tcPr>
            <w:tcW w:w="1226" w:type="dxa"/>
          </w:tcPr>
          <w:p w14:paraId="0DEC8C4E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19 (7.4%)</w:t>
            </w:r>
          </w:p>
        </w:tc>
        <w:tc>
          <w:tcPr>
            <w:tcW w:w="920" w:type="dxa"/>
          </w:tcPr>
          <w:p w14:paraId="46CF3792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894466" w:rsidRPr="008170AC" w14:paraId="3B9EA8A0" w14:textId="77777777" w:rsidTr="008170AC">
        <w:trPr>
          <w:trHeight w:val="271"/>
        </w:trPr>
        <w:tc>
          <w:tcPr>
            <w:tcW w:w="1628" w:type="dxa"/>
            <w:vMerge w:val="restart"/>
          </w:tcPr>
          <w:p w14:paraId="3A98B737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845D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Sorensen et al</w:t>
            </w:r>
          </w:p>
        </w:tc>
        <w:tc>
          <w:tcPr>
            <w:tcW w:w="3533" w:type="dxa"/>
          </w:tcPr>
          <w:p w14:paraId="5B178CEB" w14:textId="77777777" w:rsidR="00894466" w:rsidRPr="008170AC" w:rsidRDefault="00894466" w:rsidP="008170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Recurrent MI</w:t>
            </w:r>
          </w:p>
        </w:tc>
        <w:tc>
          <w:tcPr>
            <w:tcW w:w="1323" w:type="dxa"/>
          </w:tcPr>
          <w:p w14:paraId="318608DC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25    (2.7%)</w:t>
            </w:r>
          </w:p>
        </w:tc>
        <w:tc>
          <w:tcPr>
            <w:tcW w:w="1226" w:type="dxa"/>
          </w:tcPr>
          <w:p w14:paraId="7E0EB290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23 (2.4%)</w:t>
            </w:r>
          </w:p>
        </w:tc>
        <w:tc>
          <w:tcPr>
            <w:tcW w:w="920" w:type="dxa"/>
          </w:tcPr>
          <w:p w14:paraId="14E54BEE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894466" w:rsidRPr="008170AC" w14:paraId="272873C8" w14:textId="77777777" w:rsidTr="008170AC">
        <w:trPr>
          <w:trHeight w:val="335"/>
        </w:trPr>
        <w:tc>
          <w:tcPr>
            <w:tcW w:w="1628" w:type="dxa"/>
            <w:vMerge/>
          </w:tcPr>
          <w:p w14:paraId="50B7E0AF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</w:tcPr>
          <w:p w14:paraId="39337C41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Death from any cause</w:t>
            </w:r>
          </w:p>
        </w:tc>
        <w:tc>
          <w:tcPr>
            <w:tcW w:w="1323" w:type="dxa"/>
          </w:tcPr>
          <w:p w14:paraId="0732ABEC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36    (3.8%)</w:t>
            </w:r>
          </w:p>
        </w:tc>
        <w:tc>
          <w:tcPr>
            <w:tcW w:w="1226" w:type="dxa"/>
          </w:tcPr>
          <w:p w14:paraId="3DFA3C33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14 (1.5%)</w:t>
            </w:r>
          </w:p>
        </w:tc>
        <w:tc>
          <w:tcPr>
            <w:tcW w:w="920" w:type="dxa"/>
          </w:tcPr>
          <w:p w14:paraId="43E44499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&lt;0.002</w:t>
            </w:r>
          </w:p>
        </w:tc>
      </w:tr>
      <w:tr w:rsidR="00894466" w:rsidRPr="008170AC" w14:paraId="34001007" w14:textId="77777777" w:rsidTr="008170AC">
        <w:tc>
          <w:tcPr>
            <w:tcW w:w="5161" w:type="dxa"/>
            <w:gridSpan w:val="2"/>
          </w:tcPr>
          <w:p w14:paraId="55EE7D19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Negative Result Studies</w:t>
            </w:r>
          </w:p>
        </w:tc>
        <w:tc>
          <w:tcPr>
            <w:tcW w:w="3469" w:type="dxa"/>
            <w:gridSpan w:val="3"/>
          </w:tcPr>
          <w:p w14:paraId="3941FFD3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</w:p>
        </w:tc>
      </w:tr>
      <w:tr w:rsidR="00894466" w:rsidRPr="008170AC" w14:paraId="5F508930" w14:textId="77777777" w:rsidTr="008170AC">
        <w:trPr>
          <w:trHeight w:val="372"/>
        </w:trPr>
        <w:tc>
          <w:tcPr>
            <w:tcW w:w="1628" w:type="dxa"/>
          </w:tcPr>
          <w:p w14:paraId="0173B63C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3533" w:type="dxa"/>
          </w:tcPr>
          <w:p w14:paraId="4F22DF88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1323" w:type="dxa"/>
          </w:tcPr>
          <w:p w14:paraId="07E6460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ASA</w:t>
            </w:r>
          </w:p>
        </w:tc>
        <w:tc>
          <w:tcPr>
            <w:tcW w:w="1226" w:type="dxa"/>
          </w:tcPr>
          <w:p w14:paraId="2819C693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DAPT</w:t>
            </w:r>
          </w:p>
        </w:tc>
        <w:tc>
          <w:tcPr>
            <w:tcW w:w="920" w:type="dxa"/>
          </w:tcPr>
          <w:p w14:paraId="7FE3C02D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894466" w:rsidRPr="008170AC" w14:paraId="78F236BE" w14:textId="77777777" w:rsidTr="008170AC">
        <w:tc>
          <w:tcPr>
            <w:tcW w:w="1628" w:type="dxa"/>
          </w:tcPr>
          <w:p w14:paraId="2FABE69B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Fox et al</w:t>
            </w:r>
          </w:p>
        </w:tc>
        <w:tc>
          <w:tcPr>
            <w:tcW w:w="3533" w:type="dxa"/>
          </w:tcPr>
          <w:p w14:paraId="70BA9EEC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Composite of CV death, MI, stroke</w:t>
            </w:r>
          </w:p>
        </w:tc>
        <w:tc>
          <w:tcPr>
            <w:tcW w:w="1323" w:type="dxa"/>
          </w:tcPr>
          <w:p w14:paraId="426FC30A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172 (16%)</w:t>
            </w:r>
          </w:p>
        </w:tc>
        <w:tc>
          <w:tcPr>
            <w:tcW w:w="1226" w:type="dxa"/>
          </w:tcPr>
          <w:p w14:paraId="549A217C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147 (14%)</w:t>
            </w:r>
          </w:p>
        </w:tc>
        <w:tc>
          <w:tcPr>
            <w:tcW w:w="920" w:type="dxa"/>
          </w:tcPr>
          <w:p w14:paraId="38037D7F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94466" w:rsidRPr="008170AC" w14:paraId="37B32129" w14:textId="77777777" w:rsidTr="008170AC">
        <w:tc>
          <w:tcPr>
            <w:tcW w:w="1628" w:type="dxa"/>
          </w:tcPr>
          <w:p w14:paraId="7F2B0D68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Saw et al.</w:t>
            </w:r>
          </w:p>
        </w:tc>
        <w:tc>
          <w:tcPr>
            <w:tcW w:w="3533" w:type="dxa"/>
          </w:tcPr>
          <w:p w14:paraId="31AE4EAF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Composite of 1 year death, MI, stroke</w:t>
            </w:r>
          </w:p>
        </w:tc>
        <w:tc>
          <w:tcPr>
            <w:tcW w:w="1323" w:type="dxa"/>
          </w:tcPr>
          <w:p w14:paraId="070D6BD1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226" w:type="dxa"/>
          </w:tcPr>
          <w:p w14:paraId="28EDD50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920" w:type="dxa"/>
          </w:tcPr>
          <w:p w14:paraId="4712CF9A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894466" w:rsidRPr="008170AC" w14:paraId="4961ED0D" w14:textId="77777777" w:rsidTr="008170AC">
        <w:tc>
          <w:tcPr>
            <w:tcW w:w="1628" w:type="dxa"/>
          </w:tcPr>
          <w:p w14:paraId="6E0BF00B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Ibrahim et al</w:t>
            </w:r>
          </w:p>
        </w:tc>
        <w:tc>
          <w:tcPr>
            <w:tcW w:w="3533" w:type="dxa"/>
          </w:tcPr>
          <w:p w14:paraId="5B04C124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Graft patency flow rate by angiography</w:t>
            </w:r>
          </w:p>
        </w:tc>
        <w:tc>
          <w:tcPr>
            <w:tcW w:w="1323" w:type="dxa"/>
          </w:tcPr>
          <w:p w14:paraId="607278B0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30 (84%)</w:t>
            </w:r>
          </w:p>
        </w:tc>
        <w:tc>
          <w:tcPr>
            <w:tcW w:w="1226" w:type="dxa"/>
          </w:tcPr>
          <w:p w14:paraId="228CE662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54 (93%)</w:t>
            </w:r>
          </w:p>
        </w:tc>
        <w:tc>
          <w:tcPr>
            <w:tcW w:w="920" w:type="dxa"/>
          </w:tcPr>
          <w:p w14:paraId="126F0D67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94466" w:rsidRPr="008170AC" w14:paraId="2C9474FB" w14:textId="77777777" w:rsidTr="008170AC">
        <w:tc>
          <w:tcPr>
            <w:tcW w:w="1628" w:type="dxa"/>
          </w:tcPr>
          <w:p w14:paraId="4CCFF43F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Sanon</w:t>
            </w:r>
            <w:proofErr w:type="spellEnd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3533" w:type="dxa"/>
          </w:tcPr>
          <w:p w14:paraId="60D9FDA3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Overall survival</w:t>
            </w:r>
          </w:p>
        </w:tc>
        <w:tc>
          <w:tcPr>
            <w:tcW w:w="1323" w:type="dxa"/>
          </w:tcPr>
          <w:p w14:paraId="25E42D82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3816 (89%)</w:t>
            </w:r>
          </w:p>
        </w:tc>
        <w:tc>
          <w:tcPr>
            <w:tcW w:w="1226" w:type="dxa"/>
          </w:tcPr>
          <w:p w14:paraId="3DB29F28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861 (88%)</w:t>
            </w:r>
          </w:p>
        </w:tc>
        <w:tc>
          <w:tcPr>
            <w:tcW w:w="920" w:type="dxa"/>
          </w:tcPr>
          <w:p w14:paraId="08908D96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894466" w:rsidRPr="008170AC" w14:paraId="20FAF35A" w14:textId="77777777" w:rsidTr="008170AC">
        <w:tc>
          <w:tcPr>
            <w:tcW w:w="1628" w:type="dxa"/>
          </w:tcPr>
          <w:p w14:paraId="56589195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Sun et al</w:t>
            </w:r>
          </w:p>
        </w:tc>
        <w:tc>
          <w:tcPr>
            <w:tcW w:w="3533" w:type="dxa"/>
          </w:tcPr>
          <w:p w14:paraId="1ED5D726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Occluded grafts assessed by CT angiography</w:t>
            </w:r>
          </w:p>
        </w:tc>
        <w:tc>
          <w:tcPr>
            <w:tcW w:w="1323" w:type="dxa"/>
          </w:tcPr>
          <w:p w14:paraId="0CAB945D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11 (7.1%)</w:t>
            </w:r>
          </w:p>
        </w:tc>
        <w:tc>
          <w:tcPr>
            <w:tcW w:w="1226" w:type="dxa"/>
          </w:tcPr>
          <w:p w14:paraId="2D67792C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8 (5%)</w:t>
            </w:r>
          </w:p>
        </w:tc>
        <w:tc>
          <w:tcPr>
            <w:tcW w:w="920" w:type="dxa"/>
          </w:tcPr>
          <w:p w14:paraId="75A0481A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894466" w:rsidRPr="008170AC" w14:paraId="7D38C73D" w14:textId="77777777" w:rsidTr="008170AC">
        <w:tc>
          <w:tcPr>
            <w:tcW w:w="1628" w:type="dxa"/>
          </w:tcPr>
          <w:p w14:paraId="5656785E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Ebrahimi</w:t>
            </w:r>
            <w:proofErr w:type="spellEnd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3533" w:type="dxa"/>
          </w:tcPr>
          <w:p w14:paraId="4E54A296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Graft patency rates by angiography</w:t>
            </w:r>
          </w:p>
        </w:tc>
        <w:tc>
          <w:tcPr>
            <w:tcW w:w="1323" w:type="dxa"/>
          </w:tcPr>
          <w:p w14:paraId="1FEE38AC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1538 (85%)</w:t>
            </w:r>
          </w:p>
        </w:tc>
        <w:tc>
          <w:tcPr>
            <w:tcW w:w="1226" w:type="dxa"/>
          </w:tcPr>
          <w:p w14:paraId="1100F2B5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878 (86%)</w:t>
            </w:r>
          </w:p>
        </w:tc>
        <w:tc>
          <w:tcPr>
            <w:tcW w:w="920" w:type="dxa"/>
          </w:tcPr>
          <w:p w14:paraId="6C6BC385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894466" w:rsidRPr="008170AC" w14:paraId="23CAD6C0" w14:textId="77777777" w:rsidTr="008170AC">
        <w:tc>
          <w:tcPr>
            <w:tcW w:w="1628" w:type="dxa"/>
          </w:tcPr>
          <w:p w14:paraId="06406E2B" w14:textId="77777777" w:rsidR="00894466" w:rsidRPr="008170AC" w:rsidRDefault="00894466" w:rsidP="008170A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Kulik</w:t>
            </w:r>
            <w:proofErr w:type="spellEnd"/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3533" w:type="dxa"/>
          </w:tcPr>
          <w:p w14:paraId="70CF1699" w14:textId="77777777" w:rsidR="00894466" w:rsidRPr="008170AC" w:rsidRDefault="00894466" w:rsidP="008170A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Mean SVG intimal area per IVUS angiography (mm</w:t>
            </w:r>
            <w:r w:rsidRPr="008170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14:paraId="53A2E783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8170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1226" w:type="dxa"/>
          </w:tcPr>
          <w:p w14:paraId="2B987737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8170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20" w:type="dxa"/>
          </w:tcPr>
          <w:p w14:paraId="13223EA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894466" w:rsidRPr="008170AC" w14:paraId="2A72A329" w14:textId="77777777" w:rsidTr="008170AC">
        <w:tc>
          <w:tcPr>
            <w:tcW w:w="8630" w:type="dxa"/>
            <w:gridSpan w:val="5"/>
          </w:tcPr>
          <w:p w14:paraId="379D592B" w14:textId="77777777" w:rsidR="00894466" w:rsidRPr="008170AC" w:rsidRDefault="00894466" w:rsidP="008170AC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0AC">
              <w:rPr>
                <w:rFonts w:ascii="Times New Roman" w:hAnsi="Times New Roman" w:cs="Times New Roman"/>
                <w:sz w:val="20"/>
                <w:szCs w:val="20"/>
              </w:rPr>
              <w:t>ASA- Aspirin, SVG- Saphenous Vein Graft, CV- Cardiovascular, IVUS- Intravascular ultrasound, MI- Myocardial infarction, NS- non significant</w:t>
            </w:r>
          </w:p>
        </w:tc>
      </w:tr>
    </w:tbl>
    <w:p w14:paraId="621EA5A6" w14:textId="77777777" w:rsidR="00BE4482" w:rsidRPr="008170AC" w:rsidRDefault="00BE4482" w:rsidP="008170A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E4482" w:rsidRPr="008170AC" w:rsidSect="008170A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62DD" w14:textId="77777777" w:rsidR="003111A8" w:rsidRDefault="003111A8" w:rsidP="00EE5FF5">
      <w:r>
        <w:separator/>
      </w:r>
    </w:p>
  </w:endnote>
  <w:endnote w:type="continuationSeparator" w:id="0">
    <w:p w14:paraId="55E8D4C3" w14:textId="77777777" w:rsidR="003111A8" w:rsidRDefault="003111A8" w:rsidP="00EE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7762" w14:textId="77777777" w:rsidR="003111A8" w:rsidRDefault="003111A8" w:rsidP="00EE5FF5">
      <w:r>
        <w:separator/>
      </w:r>
    </w:p>
  </w:footnote>
  <w:footnote w:type="continuationSeparator" w:id="0">
    <w:p w14:paraId="44BD0784" w14:textId="77777777" w:rsidR="003111A8" w:rsidRDefault="003111A8" w:rsidP="00EE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4E1F" w14:textId="28C96747" w:rsidR="008170AC" w:rsidRDefault="008170AC" w:rsidP="008170AC">
    <w:pPr>
      <w:pStyle w:val="Header"/>
    </w:pPr>
    <w:r>
      <w:t xml:space="preserve">1250     Cat: </w:t>
    </w:r>
    <w:r>
      <w:rPr>
        <w:color w:val="222222"/>
        <w:shd w:val="clear" w:color="auto" w:fill="FFFFFF"/>
      </w:rPr>
      <w:t>Blockade of tissue proliferation after coronary interventions</w:t>
    </w:r>
  </w:p>
  <w:p w14:paraId="3DBB6B49" w14:textId="77777777" w:rsidR="008170AC" w:rsidRDefault="00817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40"/>
    <w:rsid w:val="00056D5A"/>
    <w:rsid w:val="000920DA"/>
    <w:rsid w:val="000959FF"/>
    <w:rsid w:val="001011C6"/>
    <w:rsid w:val="00106F22"/>
    <w:rsid w:val="00180B72"/>
    <w:rsid w:val="00223D5C"/>
    <w:rsid w:val="00246048"/>
    <w:rsid w:val="00277E59"/>
    <w:rsid w:val="0029682E"/>
    <w:rsid w:val="00297B84"/>
    <w:rsid w:val="003111A8"/>
    <w:rsid w:val="00322264"/>
    <w:rsid w:val="00336D49"/>
    <w:rsid w:val="003514EF"/>
    <w:rsid w:val="00371A39"/>
    <w:rsid w:val="00495C1C"/>
    <w:rsid w:val="004E4240"/>
    <w:rsid w:val="0058149C"/>
    <w:rsid w:val="00587DBF"/>
    <w:rsid w:val="00593EB4"/>
    <w:rsid w:val="00666CD4"/>
    <w:rsid w:val="007D3771"/>
    <w:rsid w:val="007E3888"/>
    <w:rsid w:val="007E625D"/>
    <w:rsid w:val="007F69D7"/>
    <w:rsid w:val="00816898"/>
    <w:rsid w:val="008170AC"/>
    <w:rsid w:val="00867C07"/>
    <w:rsid w:val="00894466"/>
    <w:rsid w:val="009640CC"/>
    <w:rsid w:val="00A771AF"/>
    <w:rsid w:val="00AD4096"/>
    <w:rsid w:val="00AF11B3"/>
    <w:rsid w:val="00B01912"/>
    <w:rsid w:val="00B14934"/>
    <w:rsid w:val="00B41887"/>
    <w:rsid w:val="00B4377D"/>
    <w:rsid w:val="00B73786"/>
    <w:rsid w:val="00BB00D3"/>
    <w:rsid w:val="00BE4482"/>
    <w:rsid w:val="00CE400F"/>
    <w:rsid w:val="00D02362"/>
    <w:rsid w:val="00D1338A"/>
    <w:rsid w:val="00D60770"/>
    <w:rsid w:val="00D64B39"/>
    <w:rsid w:val="00DF2A7E"/>
    <w:rsid w:val="00E166E2"/>
    <w:rsid w:val="00E52E45"/>
    <w:rsid w:val="00EC1E29"/>
    <w:rsid w:val="00EE5FF5"/>
    <w:rsid w:val="00FE1D1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E4240"/>
  </w:style>
  <w:style w:type="table" w:styleId="TableGrid">
    <w:name w:val="Table Grid"/>
    <w:basedOn w:val="TableNormal"/>
    <w:uiPriority w:val="39"/>
    <w:rsid w:val="00BE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F5"/>
  </w:style>
  <w:style w:type="paragraph" w:styleId="Footer">
    <w:name w:val="footer"/>
    <w:basedOn w:val="Normal"/>
    <w:link w:val="FooterChar"/>
    <w:uiPriority w:val="99"/>
    <w:unhideWhenUsed/>
    <w:rsid w:val="00EE5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Karyn-PC</cp:lastModifiedBy>
  <cp:revision>4</cp:revision>
  <cp:lastPrinted>2016-03-12T14:39:00Z</cp:lastPrinted>
  <dcterms:created xsi:type="dcterms:W3CDTF">2016-03-12T14:30:00Z</dcterms:created>
  <dcterms:modified xsi:type="dcterms:W3CDTF">2016-03-12T14:39:00Z</dcterms:modified>
</cp:coreProperties>
</file>